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rPr>
        <w:t xml:space="preserve">                                  </w:t>
      </w:r>
    </w:p>
    <w:p>
      <w:pPr>
        <w:pStyle w:val="Normal"/>
        <w:jc w:val="center"/>
        <w:rPr>
          <w:rFonts w:ascii="Times New Roman" w:hAnsi="Times New Roman" w:cs="Times New Roman"/>
          <w:b/>
          <w:b/>
        </w:rPr>
      </w:pPr>
      <w:r>
        <w:rPr>
          <w:rFonts w:cs="Times New Roman" w:ascii="Times New Roman" w:hAnsi="Times New Roman"/>
          <w:b/>
        </w:rPr>
        <w:t>LOKALNE KRYTERIA WYBORU OPERACJI</w:t>
      </w:r>
    </w:p>
    <w:p>
      <w:pPr>
        <w:pStyle w:val="Normal"/>
        <w:rPr>
          <w:rFonts w:ascii="Times New Roman" w:hAnsi="Times New Roman" w:cs="Times New Roman"/>
        </w:rPr>
      </w:pPr>
      <w:r>
        <w:rPr>
          <w:rFonts w:cs="Times New Roman" w:ascii="Times New Roman" w:hAnsi="Times New Roman"/>
        </w:rPr>
        <w:t>Maksymalna liczba punktów do zdobycia: 137</w:t>
      </w:r>
    </w:p>
    <w:p>
      <w:pPr>
        <w:pStyle w:val="Normal"/>
        <w:rPr>
          <w:rFonts w:ascii="Times New Roman" w:hAnsi="Times New Roman" w:cs="Times New Roman"/>
        </w:rPr>
      </w:pPr>
      <w:r>
        <w:rPr>
          <w:rFonts w:cs="Times New Roman" w:ascii="Times New Roman" w:hAnsi="Times New Roman"/>
        </w:rPr>
        <w:t>Minimalny poziom uzyskania punktów: nie mniej niż 40% wartości maksymalnej, tj. 55 pkt. (ocena nie przewiduje punktów ułamkowych)</w:t>
      </w:r>
    </w:p>
    <w:p>
      <w:pPr>
        <w:pStyle w:val="Normal"/>
        <w:rPr>
          <w:rFonts w:ascii="Times New Roman" w:hAnsi="Times New Roman" w:cs="Times New Roman"/>
        </w:rPr>
      </w:pPr>
      <w:r>
        <w:rPr>
          <w:rFonts w:cs="Times New Roman" w:ascii="Times New Roman" w:hAnsi="Times New Roman"/>
        </w:rPr>
        <w:t>Kryteria wspierające sektor rybacki (tj. tylko przedstawiciele sektora rybackiego mogą uzyskać punkty w ramach tych kryteriów): 7, 8, 9, 10, 17. W ramach tych kryteriów można zdobyć maksymalnie 35 punktów. Zarówno liczba kryteriów, jak i globalna suma punktów w tych kryteriach nie może ulec zmniejszeniu podczas procedury zmiany lokalnych kryteriów wyboru operacji.</w:t>
      </w:r>
    </w:p>
    <w:tbl>
      <w:tblPr>
        <w:tblStyle w:val="Tabela-Siatka"/>
        <w:tblW w:w="9061" w:type="dxa"/>
        <w:jc w:val="left"/>
        <w:tblInd w:w="-5" w:type="dxa"/>
        <w:tblCellMar>
          <w:top w:w="0" w:type="dxa"/>
          <w:left w:w="103" w:type="dxa"/>
          <w:bottom w:w="0" w:type="dxa"/>
          <w:right w:w="108" w:type="dxa"/>
        </w:tblCellMar>
        <w:tblLook w:firstRow="1" w:noVBand="1" w:lastRow="0" w:firstColumn="1" w:lastColumn="0" w:noHBand="0" w:val="04a0"/>
      </w:tblPr>
      <w:tblGrid>
        <w:gridCol w:w="449"/>
        <w:gridCol w:w="2125"/>
        <w:gridCol w:w="3941"/>
        <w:gridCol w:w="850"/>
        <w:gridCol w:w="851"/>
        <w:gridCol w:w="844"/>
      </w:tblGrid>
      <w:tr>
        <w:trPr/>
        <w:tc>
          <w:tcPr>
            <w:tcW w:w="449"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Nr</w:t>
            </w:r>
          </w:p>
        </w:tc>
        <w:tc>
          <w:tcPr>
            <w:tcW w:w="2125"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Nazwa kryterium</w:t>
            </w:r>
          </w:p>
        </w:tc>
        <w:tc>
          <w:tcPr>
            <w:tcW w:w="3941"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Opis kryterium</w:t>
            </w:r>
          </w:p>
        </w:tc>
        <w:tc>
          <w:tcPr>
            <w:tcW w:w="850"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Punkty</w:t>
            </w:r>
          </w:p>
        </w:tc>
        <w:tc>
          <w:tcPr>
            <w:tcW w:w="851"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Waga</w:t>
            </w:r>
          </w:p>
        </w:tc>
        <w:tc>
          <w:tcPr>
            <w:tcW w:w="844"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Razem</w:t>
            </w:r>
          </w:p>
        </w:tc>
      </w:tr>
      <w:tr>
        <w:trPr/>
        <w:tc>
          <w:tcPr>
            <w:tcW w:w="449"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2125"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3941"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850"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p>
        </w:tc>
        <w:tc>
          <w:tcPr>
            <w:tcW w:w="851"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844" w:type="dxa"/>
            <w:tcBorders/>
            <w:shd w:color="auto" w:fill="A8D08D" w:themeFill="accent6" w:themeFillTint="99"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r>
      <w:tr>
        <w:trPr/>
        <w:tc>
          <w:tcPr>
            <w:tcW w:w="449" w:type="dxa"/>
            <w:vMerge w:val="restart"/>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Zasięg realizacji operacji</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ma charakter działania sieciowego i jest realizowana na terenie:</w:t>
            </w:r>
          </w:p>
        </w:tc>
      </w:tr>
      <w:tr>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Wszystkich gmin obszaru RLGD</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Od 6 do 8 gmin obszaru</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Od 3 do 5 gmin obszaru</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Co najmniej dwóch gmin</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Jednej gminy (operacja nie ma charakteru działania sieciowego)</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b/>
              </w:rPr>
              <w:t>Wnioskodawca realizuje operację na terenie mniejszych miejscowości</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realizuje operację na terenie miejscowości poniżej 5000 mieszkańców</w:t>
            </w:r>
          </w:p>
        </w:tc>
      </w:tr>
      <w:tr>
        <w:trPr>
          <w:trHeight w:val="341" w:hRule="atLeast"/>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164" w:hRule="atLeast"/>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zakłada poziom wkładu własnego</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deklaruje wkład własny finansowy na poziomie:</w:t>
            </w:r>
          </w:p>
        </w:tc>
      </w:tr>
      <w:tr>
        <w:trPr>
          <w:trHeight w:val="382"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Wkład własny równy wymaganemu wkładowi minimalnemu</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Do 20% powyżej wymaganego wkładu minimalnego</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Powyżej 20% do 30% większym od wymaganego wkładu minimalnego</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Powyżej 30% do 40% większym od wymaganego wkładu minimalnego</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Powyżej</w:t>
            </w:r>
            <w:bookmarkStart w:id="0" w:name="_GoBack"/>
            <w:bookmarkEnd w:id="0"/>
            <w:r>
              <w:rPr>
                <w:rFonts w:cs="Times New Roman" w:ascii="Times New Roman" w:hAnsi="Times New Roman"/>
              </w:rPr>
              <w:t xml:space="preserve"> 40% od wymaganego wkładu minimalnego</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w ramach operacji tworzy miejsca pracy</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tworzy miejsca pracy w przeliczeniu na etaty średnioroczne:</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Mniej niż 1 etat</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 etat</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Więcej niż jeden etat i mniej niż 3</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 i więcej etatów</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5</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 ramach operacji będą realizowane przedsięwzięcia aktywizujące przedstawicieli grup defaworyzowanych</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planuje w ramach operacji przeprowadzenie działań aktywizujących przedstawicieli grup defaworyzowanych, tj. osób w wieku poniżej 26 lat lub dla osób w wieku 50 i więcej lat innych niż związane z tworzeniem i rozwijaniem miejsc pracy:</w:t>
            </w:r>
          </w:p>
        </w:tc>
      </w:tr>
      <w:tr>
        <w:trPr>
          <w:trHeight w:val="306"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b/>
              </w:rPr>
              <w:t>Operacja zakłada wprowadzenie nowego produktu lub nowej usługi związanej ze specyfiką obszaru</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we wniosku konkretny produkt lub konkretną usługę lub konkretne wydarzenie związane ze specyfiką obszaru wskazaną w LSR w ujęciu: gospodarczym lub turystycznym, lub rekreacyjnym, lub kulturowym, lub edukacyjnym, lub promocyjnym, która wcześniej nie była dostępna na obszarze:</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reprezentuje sektor rybacki</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reprezentuje sektor rybacki, tj. jest rybakiem bądź przedsiębiorcą branży rybackiej, bądź organizacją społeczną działającą w sektorze rybackim</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wprowadzenie nowego produktu lub nowej usługi związanej z sektorem rybackim</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we wniosku konkretny produkt lub konkretną usługę związaną z sektorem rybackim w ujęciu: gospodarczym lub turystycznym, lub rekreacyjnym, lub kulturowym, lub edukacyjnym, lub promocyjnym, która wcześniej nie była dostępna na obszarze:</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nie wprowadza nowego produktu lub usługi</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Objętym LSR, rozumianym jako spójny obszar wszystkich 9 gmin</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Co najmniej jednej gminy</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Podmiotu, który reprezentuje Wnioskodawca</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850" w:hRule="atLeast"/>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9</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wprowadzenie produktu lub usługi poza obszar dotychczasowej działalności</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który jest  przedstawicielem sektora rybackiego wskazał we wniosku, że efektem operacji jest wprowadzenie produktu lub usługi na obszar geograficznie większy niż dotychczas</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10</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poprawę bezpieczeństwa na akwenach i terenach do nich przyległych</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we wniosku planowane do wdrożenia produkty i/lub usługi i/lub technologie, które będą miały wpływ na poprawę bezpieczeństwa na akwenie i/lub terenie przyległym, który został objęty operacją</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11</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wpływa na zachowanie bioróżnorodności obszaru</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realizuje operację związaną z infrastrukturą ochrony środowiska, infrastrukturą zrównoważonej turystyki oraz poprawą stanu urządzeń hydrotechnicznych</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color="auto"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12</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ma charakter innowacyjny</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na innowacyjność realizowanej operacji, odnosząc się do definicji innowacyjności zawartej w LSR</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nie jest innowacyjna</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jest innowacyjna na obszarze objętym LSR, rozumianym jako spójny obszar wszystkich 9 gmin</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Dla podmiotu, który reprezentuje Wnioskodawca</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13</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b/>
              </w:rPr>
              <w:t>Operacja ma charakter społeczny</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realizuje operację, która ma charakter nie inwestycyjny i jest uzasadniona społecznie</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14</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wpływa na promocję obszaru</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że liczba odbiorców produktów operacji wyniesie:</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Do 50 osób</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Więcej niż 50 i mniej niż 100 osób</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Od 100 do 300 osób</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Więcej niż 300 i mniej niż 500 osób</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500 i więcej osób</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15</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wpływa na rozwój oferty turystycznej lub rekreacyjnej obszaru</w:t>
            </w:r>
          </w:p>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że produkty operacji stanowią część bądź całość oferty turystycznej i/lub rekreacyjnej:</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nie wpływa na rozwój oferty turystycznej lub rekreacyjnej</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Obszaru objętego LSR, rozumianym jako spójny obszar wszystkich 9 gmin</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Obszaru co najmniej jednej gminy</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Obszaru co najmniej jednej miejscowości</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16</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jest realizowana w partnerstwie</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ma potwierdzony w formie pisemnej deklaracji (podpisana umowa partnerska lub list intencyjny) udział partnera, ze wskazaniem zakresu zadań mu powierzonych</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jednego</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2 - 3</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Pow. 3</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17</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rozwój gospodarstwa rybackiego lub przedsiębiorstwa branży rybackiej, lub organizacji rybackiej w obszarach działalności innych niż podstawowa działalność rybacka</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który reprezentuje sektor rybacki ujął w operacji rozwój zakresów innych niż podstawowa działalność rybacka</w:t>
            </w:r>
          </w:p>
        </w:tc>
      </w:tr>
      <w:tr>
        <w:trPr>
          <w:trHeight w:val="899" w:hRule="atLeast"/>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18</w:t>
            </w:r>
          </w:p>
        </w:tc>
        <w:tc>
          <w:tcPr>
            <w:tcW w:w="2125" w:type="dxa"/>
            <w:vMerge w:val="restart"/>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ma doświadczenie w zakresie realizacji operacji o podobnym charakterze</w:t>
            </w:r>
          </w:p>
        </w:tc>
        <w:tc>
          <w:tcPr>
            <w:tcW w:w="6486" w:type="dxa"/>
            <w:gridSpan w:val="4"/>
            <w:tcBorders/>
            <w:shd w:color="auto" w:fill="BFBFBF" w:themeFill="background1" w:themeFillShade="bf"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brał udział jako wiodący realizator przynajmniej jednego zadania, którego zakres był podobny do zakresu wskazanego we wniosku</w:t>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44"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WYJAŚNIENIE DOT. ZAPISÓW LOKALNYCH KRYTERIÓW WYBORU</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240" w:before="0" w:after="0"/>
        <w:jc w:val="both"/>
        <w:rPr>
          <w:rFonts w:ascii="TimesNewRomanPSMT" w:hAnsi="TimesNewRomanPSMT" w:cs="TimesNewRomanPSMT"/>
          <w:sz w:val="24"/>
          <w:szCs w:val="24"/>
        </w:rPr>
      </w:pPr>
      <w:r>
        <w:rPr>
          <w:rFonts w:cs="Times New Roman" w:ascii="Times New Roman" w:hAnsi="Times New Roman"/>
          <w:b/>
        </w:rPr>
        <w:t>Zasięg realizacji operacji</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i uzasadnił, że produkty powstałe podczas planowanej operacji będą dostępne dla mieszkańców więcej niż jednej gminy. Im większy obszar zasięgu operacji tym większa liczba punktów.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(1) ograniczenie indywidualizacji działań podmiotów, samorządów, organizacji; (2) zwiększenie integracji społeczności obszaru.</w:t>
      </w:r>
    </w:p>
    <w:p>
      <w:pPr>
        <w:pStyle w:val="ListParagraph"/>
        <w:numPr>
          <w:ilvl w:val="0"/>
          <w:numId w:val="1"/>
        </w:numPr>
        <w:spacing w:lineRule="auto" w:line="240" w:before="0" w:after="0"/>
        <w:jc w:val="both"/>
        <w:rPr>
          <w:rFonts w:ascii="Times New Roman" w:hAnsi="Times New Roman" w:cs="Times New Roman"/>
          <w:i/>
          <w:i/>
        </w:rPr>
      </w:pPr>
      <w:r>
        <w:rPr>
          <w:rFonts w:cs="Times New Roman" w:ascii="Times New Roman" w:hAnsi="Times New Roman"/>
          <w:b/>
        </w:rPr>
        <w:t>Wnioskodawca realizuje operację na terenie mniejszych miejscowości</w:t>
      </w:r>
    </w:p>
    <w:p>
      <w:pPr>
        <w:pStyle w:val="ListParagraph"/>
        <w:jc w:val="both"/>
        <w:rPr>
          <w:rFonts w:ascii="Times New Roman" w:hAnsi="Times New Roman" w:cs="Times New Roman"/>
        </w:rPr>
      </w:pPr>
      <w:r>
        <w:rPr>
          <w:rFonts w:cs="Times New Roman" w:ascii="Times New Roman" w:hAnsi="Times New Roman"/>
        </w:rPr>
        <w:t>Wnioskodawca wskazał we wniosku miejsce realizacji operacji: miejscowość zamieszkałą przez mniej niż 5000 mieszkańców. Takie kryterium pozwala rozwijać się miejscowościom mniejszym, gdzie interwencje finansowane przez UE prowadzone są rzadziej, skutkując coraz większymi różnicami w rozwoju obszaru.</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nierównomierny rozwój obszaru.</w:t>
      </w:r>
    </w:p>
    <w:p>
      <w:pPr>
        <w:pStyle w:val="ListParagraph"/>
        <w:numPr>
          <w:ilvl w:val="0"/>
          <w:numId w:val="1"/>
        </w:numPr>
        <w:jc w:val="both"/>
        <w:rPr>
          <w:rFonts w:ascii="Times New Roman" w:hAnsi="Times New Roman" w:cs="Times New Roman"/>
          <w:b/>
          <w:b/>
        </w:rPr>
      </w:pPr>
      <w:r>
        <w:rPr>
          <w:rFonts w:cs="Times New Roman" w:ascii="Times New Roman" w:hAnsi="Times New Roman"/>
          <w:b/>
        </w:rPr>
        <w:t>Wnioskodawca zakłada poziom wkładu własnego</w:t>
      </w:r>
    </w:p>
    <w:p>
      <w:pPr>
        <w:pStyle w:val="ListParagraph"/>
        <w:jc w:val="both"/>
        <w:rPr>
          <w:rFonts w:ascii="Times New Roman" w:hAnsi="Times New Roman" w:cs="Times New Roman"/>
        </w:rPr>
      </w:pPr>
      <w:r>
        <w:rPr>
          <w:rFonts w:cs="Times New Roman" w:ascii="Times New Roman" w:hAnsi="Times New Roman"/>
        </w:rPr>
        <w:t>Wnioskodawca potwierdził we wniosku, ze zaplanował finansowy wkład własny (w postaci środków pieniężnych, a nie wyceny działalności społecznej, czy użyczenia sprzętu). Im większa wartość wkładu własnego, tym większa liczba punktów.</w:t>
      </w:r>
    </w:p>
    <w:p>
      <w:pPr>
        <w:pStyle w:val="ListParagraph"/>
        <w:jc w:val="both"/>
        <w:rPr>
          <w:rFonts w:ascii="Times New Roman" w:hAnsi="Times New Roman" w:cs="Times New Roman"/>
        </w:rPr>
      </w:pPr>
      <w:r>
        <w:rPr>
          <w:rFonts w:cs="Times New Roman" w:ascii="Times New Roman" w:hAnsi="Times New Roman"/>
          <w:i/>
        </w:rPr>
        <w:t>Odniesienie do problemów wskazanych w LSR; kryterium wpływa na: zaangażowanie większych środków własnych i daje tym samym większej liczbie potencjalnych Beneficjentów szanse na uzyskanie wsparcia EFRM – to bardzo ważne, ponieważ podmioty obszaru RLGD nie mogły korzystać ze środków priorytetu w latach 2007-2013.</w:t>
      </w:r>
    </w:p>
    <w:p>
      <w:pPr>
        <w:pStyle w:val="ListParagraph"/>
        <w:numPr>
          <w:ilvl w:val="0"/>
          <w:numId w:val="1"/>
        </w:numPr>
        <w:jc w:val="both"/>
        <w:rPr>
          <w:rFonts w:ascii="Times New Roman" w:hAnsi="Times New Roman" w:cs="Times New Roman"/>
          <w:b/>
          <w:b/>
        </w:rPr>
      </w:pPr>
      <w:r>
        <w:rPr>
          <w:rFonts w:cs="Times New Roman" w:ascii="Times New Roman" w:hAnsi="Times New Roman"/>
          <w:b/>
        </w:rPr>
        <w:t>Wnioskodawca w ramach operacji tworzy miejsca pracy</w:t>
      </w:r>
    </w:p>
    <w:p>
      <w:pPr>
        <w:pStyle w:val="ListParagraph"/>
        <w:jc w:val="both"/>
        <w:rPr>
          <w:rFonts w:ascii="Times New Roman" w:hAnsi="Times New Roman" w:cs="Times New Roman"/>
        </w:rPr>
      </w:pPr>
      <w:r>
        <w:rPr>
          <w:rFonts w:cs="Times New Roman" w:ascii="Times New Roman" w:hAnsi="Times New Roman"/>
        </w:rPr>
        <w:t xml:space="preserve">Wnioskodawca potwierdził we wniosku, że w ramach operacji powstaną nowe miejsca pracy przeliczone na etaty średnioroczne. Im więcej etatów średniorocznych tym większa liczba punktów. W przypadku rozpoczynania działalności gospodarczej osoba podejmująca działalność liczona jest jako jeden etat średnioroczny. Nie przyjęliśmy dodatkowych punktów za tworzenie miejsc pracy dla osób z grup defaworyzowanych, ze względu na niezgodność takich zapisów z obowiązującym prawem. Nie można bowiem ograniczać dostęp do zatrudnienia w odniesieniu do płci, wieku, niepełnosprawności, rasy, religii, narodowości, przekonań politycznych i in. </w:t>
      </w:r>
      <w:r>
        <w:rPr>
          <w:rFonts w:cs="Times New Roman" w:ascii="Times New Roman" w:hAnsi="Times New Roman"/>
          <w:b/>
          <w:u w:val="single"/>
        </w:rPr>
        <w:t>Formą dyskryminacji jest także dyskryminacja pozytywna</w:t>
      </w:r>
      <w:r>
        <w:rPr>
          <w:rFonts w:cs="Times New Roman" w:ascii="Times New Roman" w:hAnsi="Times New Roman"/>
        </w:rPr>
        <w:t>, utrzymywanie czasowych lub stałych rozwiązań i środków prawnych mających na celu wyrównanie szans osób i grup dyskryminowanych ze względu na wiek, płeć, pochodzenie etniczne, religię, orientację seksualną i in. Zwiększanie szans na rynku pracy osób z grup defaworyzowanych ujęte jest w kryterium 5.</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problem z niedostateczną liczbą miejsc pracy w granicach obszaru</w:t>
      </w:r>
    </w:p>
    <w:p>
      <w:pPr>
        <w:pStyle w:val="ListParagraph"/>
        <w:numPr>
          <w:ilvl w:val="0"/>
          <w:numId w:val="1"/>
        </w:numPr>
        <w:jc w:val="both"/>
        <w:rPr>
          <w:rFonts w:ascii="Times New Roman" w:hAnsi="Times New Roman" w:cs="Times New Roman"/>
        </w:rPr>
      </w:pPr>
      <w:r>
        <w:rPr>
          <w:rFonts w:cs="Times New Roman" w:ascii="Times New Roman" w:hAnsi="Times New Roman"/>
          <w:b/>
        </w:rPr>
        <w:t>W ramach operacji będą realizowane przedsięwzięcia aktywizujące przedstawicieli grup defaworyzowanych</w:t>
      </w:r>
    </w:p>
    <w:p>
      <w:pPr>
        <w:pStyle w:val="ListParagraph"/>
        <w:jc w:val="both"/>
        <w:rPr>
          <w:rFonts w:ascii="Times New Roman" w:hAnsi="Times New Roman" w:cs="Times New Roman"/>
        </w:rPr>
      </w:pPr>
      <w:r>
        <w:rPr>
          <w:rFonts w:cs="Times New Roman" w:ascii="Times New Roman" w:hAnsi="Times New Roman"/>
        </w:rPr>
        <w:t>Wnioskodawca wskazał we wniosku działania o charakterze: edukacyjnym i/lub integracyjnym, których głównym adresatem będą osoby w wieku poniżej 26 roku życia i/lub w wieku 50 i więcej lat, wskazane w LSR, jako grupy defaworyzowane na rynku pracy. Przedsięwzięcia aktywizujące nie muszą dotyczyć rynku pracy, powinny natomiast włączać wskazaną wyżej grupę do działań przewidzianych operacją, również na zasadzie wolontariatu zg. z Ustawą o działalności pożytku publicznego i o wolontariacie. Nie są premiowane przedsięwzięcia, w których grupy defaworyzowane są tylko biernym odbiorcą, np. publicznością, czy odbiorcą materiałów informacyjnych i/lub promocyjnych.</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ograniczenie wykluczenie z rynku pracy, a szerzej z aktywności społecznej grup defaworyzowanych; aktywne uczestnictwo w działaniach związanych z celami LSR pozwala na rozszerzenie grupy znajomych, zwiększenie dostępności do informacji o zasobach obszaru, działalności RLGD, możliwości uzyskania wsparcia, nauki nowych umiejętności, wzrost doświadczenia zawodowego.</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wprowadzenie nowego produktu lub nowej usługi związanej ze specyfiką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konkretny produkt lub konkretną usługę lub konkretne wydarzenie związane ze specyfiką obszaru wskazaną w LSR w ujęciu: gospodarczym lub turystycznym, lub rekreacyjnym, lub kulturowym, lub edukacyjnym, lub promocyjnym, która wcześniej nie była dostępna na obszarze.</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a także promocji obszaru, a tym samym zwiększa szanse na ich sprzedaż poza granicami obszaru, a tym samym zwiększenie dochodów podmiotów gospodarczych, rozpoznawalność instytucji i organizacji społecznych, poprawę wizerunku obszaru i jego specyfiki.</w:t>
      </w:r>
    </w:p>
    <w:p>
      <w:pPr>
        <w:pStyle w:val="ListParagraph"/>
        <w:numPr>
          <w:ilvl w:val="0"/>
          <w:numId w:val="1"/>
        </w:numPr>
        <w:jc w:val="both"/>
        <w:rPr>
          <w:rFonts w:ascii="Times New Roman" w:hAnsi="Times New Roman" w:cs="Times New Roman"/>
        </w:rPr>
      </w:pPr>
      <w:r>
        <w:rPr>
          <w:rFonts w:cs="Times New Roman" w:ascii="Times New Roman" w:hAnsi="Times New Roman"/>
          <w:b/>
        </w:rPr>
        <w:t>Wnioskodawca reprezentuje sektor rybacki</w:t>
      </w:r>
    </w:p>
    <w:p>
      <w:pPr>
        <w:pStyle w:val="ListParagraph"/>
        <w:jc w:val="both"/>
        <w:rPr>
          <w:rFonts w:ascii="Times New Roman" w:hAnsi="Times New Roman" w:cs="Times New Roman"/>
        </w:rPr>
      </w:pPr>
      <w:r>
        <w:rPr>
          <w:rFonts w:cs="Times New Roman" w:ascii="Times New Roman" w:hAnsi="Times New Roman"/>
        </w:rPr>
        <w:t>Wnioskodawca należy do sektora rybackiego i jest przedsiębiorcą branży rybackiej, albo rolnikiem, albo zarejestrowaną w odpowiednim rejestrze organizacją prawną i udowodnił to załączając do wniosku wymagane zgodnie z ogłoszeniem o naborze wniosków dokumenty.</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ograniczenie nieproporcjonalności rybaków z obszaru RLGD w odniesieniu do innych regionów województwa.</w:t>
      </w:r>
    </w:p>
    <w:p>
      <w:pPr>
        <w:pStyle w:val="ListParagraph"/>
        <w:numPr>
          <w:ilvl w:val="0"/>
          <w:numId w:val="1"/>
        </w:numPr>
        <w:jc w:val="both"/>
        <w:rPr>
          <w:rFonts w:ascii="Times New Roman" w:hAnsi="Times New Roman" w:cs="Times New Roman"/>
        </w:rPr>
      </w:pPr>
      <w:r>
        <w:rPr>
          <w:rFonts w:cs="Times New Roman" w:ascii="Times New Roman" w:hAnsi="Times New Roman"/>
          <w:b/>
        </w:rPr>
        <w:t>Operacja zakłada wprowadzenie produktu lub usługi poza obszar dotychczasowej działalności</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który potwierdził, że jest przedstawicielem sektora rybackiego wskazał we wniosku, że efektem operacji jest wprowadzenie produktu lub usługi na obszar geograficznie większy niż dotychczas, przy czym potrafi wskazać i uzasadnić oficjalny zakres geograficzny obecności produktu i usługi.</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ich dywersyfikację, a tym samym zwiększenie szans na ich sprzedaż poza granicami obszaru, a tym samy zwiększenie dochodów podmiotów gospodarczych.</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wprowadzenie nowego produktu lub nowej usługi związanej z sektorem rybackim</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i udowodnił we wniosku, że wprowadza produkt, którego wcześniej nie było co najmniej w obrębie/działalności podmiotu, który Wnioskodawca reprezentuje. Im większy obszar, na którym nowy produkt lub usługa pojawia się, tym większa liczba punktów. Nowy produkt lub usługa oznacza, że nikt wcześniej nie wdrożył oficjalnie tego produktu lub usługi w określonym obszarze (najmniejszy obszar to obręb/działalność Wnioskodawcy; największy – obszar terytorialny wszystkich gmin wchodzących w skład RLGD). Operacja w tym kryterium może otrzymać tylko jedną wartość punktu, przypisaną do największego ze wskazanych przez Wnioskodawcę obszarów.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a tym samym zwiększenie szans na ich sprzedaż poza granicami obszaru, a tym samy zwiększenie dochodów podmiotów gospodarczych i – w konsekwencji – podmiotów publicznych obszaru</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poprawę bezpieczeństwa na akwenach i terenach do nich przyległych</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w jaki sposób realizowana operacja wpłynie na zwiększenie bezpieczeństwa: osób, mienia i/lub obszaru.</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bezpieczeństwo i higienę pracy osób pracujących, w tym zatrudnionych w sektorze oraz na ograniczenie kłusownictwa</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wpływa na zachowanie bioróżnorodności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że planowana operacja związaną z infrastrukturą ochrony środowiska, infrastrukturą zrównoważonej turystyki lub poprawą stanu urządzeń hydrotechnicznych wpłynie na poprawę lub niepogarszanie stanu środowiska naturalnego.</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ochronę środowiska, zachowanie bioróżnorodności, rozwój zrównoważonej turystyki opartej na specyficznych zasobach</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ma charakter innowacyjny</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że planowana operacja jest innowacyjna w rozumieniu zapisów definicji innowacyjności podanej w LSR.</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rozwój techniki i technologii, a tym samym zwiększenie szans podmiotów sektora rybackiego i ich konkurencyjności w odniesieniu do branży w innych regionach kraju.</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ma charakter społeczny</w:t>
      </w:r>
    </w:p>
    <w:p>
      <w:pPr>
        <w:pStyle w:val="ListParagraph"/>
        <w:spacing w:lineRule="auto" w:line="240" w:before="0" w:after="0"/>
        <w:ind w:left="708" w:hanging="0"/>
        <w:jc w:val="both"/>
        <w:rPr>
          <w:rFonts w:ascii="Times New Roman" w:hAnsi="Times New Roman" w:cs="Times New Roman"/>
        </w:rPr>
      </w:pPr>
      <w:r>
        <w:rPr>
          <w:rFonts w:cs="Times New Roman" w:ascii="Times New Roman" w:hAnsi="Times New Roman"/>
        </w:rPr>
        <w:t>Wnioskodawca realizuje operację, która ma charakter nieinwestycyjny i jest uzasadniona społecznie, co oznacza, że potrzeba realizacji operacji jest ważna dla większej grupy społeczności i Wnioskodawca potrafi to uzasadnić we wniosku, wskazując na jeden ze wskazanych w LSR problemów: słabą integrację, niedostateczną wiedzę mieszkańców o zasobach obszaru, wyłączenie gospodarcze i ekonomiczne osób młodych oraz osób w wieku 50 i więcej lat, brak zawodowej animacji osób starszych, małą aktywność gospodarcza, wykorzystująca zasoby obszaru</w:t>
      </w:r>
    </w:p>
    <w:p>
      <w:pPr>
        <w:pStyle w:val="ListParagraph"/>
        <w:spacing w:lineRule="auto" w:line="240" w:before="0" w:after="0"/>
        <w:ind w:left="708" w:hanging="0"/>
        <w:jc w:val="both"/>
        <w:rPr>
          <w:rFonts w:ascii="Times New Roman" w:hAnsi="Times New Roman" w:cs="Times New Roman"/>
        </w:rPr>
      </w:pPr>
      <w:r>
        <w:rPr>
          <w:rFonts w:cs="Times New Roman" w:ascii="Times New Roman" w:hAnsi="Times New Roman"/>
          <w:i/>
        </w:rPr>
        <w:t xml:space="preserve">Odniesienie do problemów wskazanych w LSR; kryterium wpływa na </w:t>
      </w:r>
      <w:r>
        <w:rPr>
          <w:rFonts w:cs="Times New Roman" w:ascii="Times New Roman" w:hAnsi="Times New Roman"/>
        </w:rPr>
        <w:t>zmniejszającą się aktywność w sektorze rybackim, niedostateczne wsparcie lokalnych przedsiębiorców tej branży (również rolników) przez instytucje publiczne, brak dostępu do informacji i doradztwa o możliwościach wsparcia rybaków, nieskuteczną promocję obszaru, brak wiedzy o innowacjach, jakie można wprowadzać w sektorze rybackim, społecznym i publicznym.</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wpływa na promocję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że udowodniona liczba odbiorców produktów operacji wyniesie określoną liczbę. Im wyższa liczba odbiorców produktów operacji, tym większa liczba punktów.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połączenie działań promocyjnych i tym samym zwiększenie liczby odbiorców pozwoli szybciej i skuteczniej osiągną założone cele</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wpływa na rozwój oferty turystycznej lub rekreacyjnej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że produkty planowanej operacji będą stanowić część bądź całość oferty turystycznej i/lub rekreacyjnej. Oferta ta może już istnieć, bądź zostać zainicjowana przez Wnioskodawcę.</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 xml:space="preserve">Odniesienie do problemów wskazanych w LSR; kryterium wpływa wzmocnienie obszaru pod względem inne niż rybacka działalności, a tym samym umożliwienie rozwoju działań okołorybackich (dywersyfikacja działalności) </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jest realizowana w partnerstwie</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i udowodnił załączoną do wniosku umowę, lub list intencyjny podpisany przez co najmniej jednego partnera, w której to umowie, bądź liście wskazany jest zakres prac realizowanych w ramach operacji przez partnerów.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ograniczenie działań samodzielnych i wpływa na tworzenie grup i sieci współpracy</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rozwój gospodarstwa rybackiego lub przedsiębiorstwa branży rybackiej, lub organizacji rybackiej w obszarach działalności innych niż podstawowa działalność rybacka</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wzmocnienie obszaru pod względem inne niż podstawowa działalność rybacka przedsięwzięć (dywersyfikacja) i rozwój istniejących przedsiębiorstw, gospodarstw i organizacji rybackich o działania dodatkowe, poza chowem i hodowlą: przetwórstwo ryb, gastronomię, usługi turystyczne.</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Wnioskodawca ma doświadczenie w zakresie realizacji operacji o podobnym charakterze</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potwierdził we wniosku, że brał udział jako wiodący realizator przynajmniej jednego zadania, którego zakres był podobny do zakresu wskazanego we wniosku.</w:t>
      </w:r>
    </w:p>
    <w:p>
      <w:pPr>
        <w:pStyle w:val="ListParagraph"/>
        <w:spacing w:lineRule="auto" w:line="240" w:before="0" w:after="0"/>
        <w:jc w:val="both"/>
        <w:rPr>
          <w:rFonts w:ascii="Times New Roman" w:hAnsi="Times New Roman" w:cs="Times New Roman"/>
        </w:rPr>
      </w:pPr>
      <w:r>
        <w:rPr>
          <w:rFonts w:cs="Times New Roman" w:ascii="Times New Roman" w:hAnsi="Times New Roman"/>
          <w:i/>
        </w:rPr>
        <w:t>Odniesienie do problemów wskazanych w LSR; kryterium wpływa wzmocnienie podmiotów aktywnych, dysponujących określonymi zasobami kadrowymi, materialnymi, finansowymi.</w:t>
      </w:r>
    </w:p>
    <w:p>
      <w:pPr>
        <w:pStyle w:val="ListParagraph"/>
        <w:spacing w:lineRule="auto" w:line="240" w:before="0" w:after="0"/>
        <w:jc w:val="both"/>
        <w:rPr/>
      </w:pPr>
      <w:r>
        <w:rPr/>
      </w:r>
    </w:p>
    <w:sectPr>
      <w:type w:val="nextPage"/>
      <w:pgSz w:w="11906" w:h="16838"/>
      <w:pgMar w:left="1417" w:right="1417" w:header="0" w:top="141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TimesNewRomanPSM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3be8"/>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f0728"/>
    <w:rPr>
      <w:rFonts w:ascii="Segoe UI" w:hAnsi="Segoe UI" w:cs="Segoe UI"/>
      <w:sz w:val="18"/>
      <w:szCs w:val="18"/>
    </w:rPr>
  </w:style>
  <w:style w:type="character" w:styleId="ListLabel1">
    <w:name w:val="ListLabel 1"/>
    <w:qFormat/>
    <w:rPr>
      <w:rFonts w:ascii="Times New Roman" w:hAnsi="Times New Roman" w:cs="Times New Roman"/>
      <w:b/>
      <w:sz w:val="24"/>
    </w:rPr>
  </w:style>
  <w:style w:type="character" w:styleId="ListLabel2">
    <w:name w:val="ListLabel 2"/>
    <w:qFormat/>
    <w:rPr>
      <w:rFonts w:ascii="Times New Roman" w:hAnsi="Times New Roman" w:cs="Times New Roman"/>
      <w:b/>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b547e"/>
    <w:pPr>
      <w:spacing w:before="0" w:after="160"/>
      <w:ind w:left="720" w:hanging="0"/>
      <w:contextualSpacing/>
    </w:pPr>
    <w:rPr/>
  </w:style>
  <w:style w:type="paragraph" w:styleId="BalloonText">
    <w:name w:val="Balloon Text"/>
    <w:basedOn w:val="Normal"/>
    <w:link w:val="TekstdymkaZnak"/>
    <w:uiPriority w:val="99"/>
    <w:semiHidden/>
    <w:unhideWhenUsed/>
    <w:qFormat/>
    <w:rsid w:val="00ef072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d33b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LibreOffice/5.3.1.2$Windows_x86 LibreOffice_project/e80a0e0fd1875e1696614d24c32df0f95f03deb2</Application>
  <Pages>7</Pages>
  <Words>2354</Words>
  <Characters>14987</Characters>
  <CharactersWithSpaces>17077</CharactersWithSpaces>
  <Paragraphs>287</Paragraphs>
  <Company>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2015-12-29T11:17:00Z</dcterms:created>
  <dc:creator>oem</dc:creator>
  <dc:description/>
  <dc:language>pl-PL</dc:language>
  <cp:lastModifiedBy/>
  <cp:lastPrinted>2016-04-01T14:55:00Z</cp:lastPrinted>
  <dcterms:modified xsi:type="dcterms:W3CDTF">2017-04-11T12:00:14Z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trans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